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981" w14:textId="197E1772" w:rsidR="009B4766" w:rsidRPr="0081339B" w:rsidRDefault="00C1429E" w:rsidP="00C84DF0">
      <w:pPr>
        <w:jc w:val="center"/>
        <w:rPr>
          <w:rStyle w:val="Enfasigrassetto"/>
          <w:rFonts w:ascii="Bookman Old Style" w:hAnsi="Bookman Old Style" w:cs="Helvetica"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7BA1809" wp14:editId="5D16DEC8">
            <wp:extent cx="800100" cy="657225"/>
            <wp:effectExtent l="0" t="0" r="0" b="9525"/>
            <wp:docPr id="2" name="Immagine 2" descr="UPI_completo_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_completo_picc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5C1BC" w14:textId="77777777" w:rsidR="001B6774" w:rsidRPr="001B6774" w:rsidRDefault="003811E3" w:rsidP="001B6774">
      <w:pPr>
        <w:spacing w:after="0"/>
        <w:jc w:val="center"/>
        <w:rPr>
          <w:rFonts w:ascii="Bookman Old Style" w:hAnsi="Bookman Old Style" w:cs="Helvetica"/>
          <w:bCs/>
          <w:i/>
          <w:sz w:val="28"/>
          <w:szCs w:val="28"/>
        </w:rPr>
      </w:pPr>
      <w:r w:rsidRPr="001B6774">
        <w:rPr>
          <w:rFonts w:ascii="Bookman Old Style" w:hAnsi="Bookman Old Style" w:cs="Helvetica"/>
          <w:bCs/>
          <w:i/>
          <w:sz w:val="28"/>
          <w:szCs w:val="28"/>
        </w:rPr>
        <w:t>S</w:t>
      </w:r>
      <w:r w:rsidR="001B6774" w:rsidRPr="001B6774">
        <w:rPr>
          <w:rFonts w:ascii="Bookman Old Style" w:hAnsi="Bookman Old Style" w:cs="Helvetica"/>
          <w:bCs/>
          <w:i/>
          <w:sz w:val="28"/>
          <w:szCs w:val="28"/>
        </w:rPr>
        <w:t>chema di decreto</w:t>
      </w:r>
    </w:p>
    <w:p w14:paraId="34334BD2" w14:textId="5F32E2B1" w:rsidR="001B6774" w:rsidRPr="001B6774" w:rsidRDefault="003811E3" w:rsidP="001B6774">
      <w:pPr>
        <w:spacing w:after="0"/>
        <w:jc w:val="center"/>
        <w:rPr>
          <w:rFonts w:ascii="Bookman Old Style" w:hAnsi="Bookman Old Style" w:cs="Helvetica"/>
          <w:bCs/>
          <w:i/>
          <w:sz w:val="28"/>
          <w:szCs w:val="28"/>
        </w:rPr>
      </w:pPr>
      <w:r w:rsidRPr="001B6774">
        <w:rPr>
          <w:rFonts w:ascii="Bookman Old Style" w:hAnsi="Bookman Old Style" w:cs="Helvetica"/>
          <w:bCs/>
          <w:i/>
          <w:sz w:val="28"/>
          <w:szCs w:val="28"/>
        </w:rPr>
        <w:t>del Mi</w:t>
      </w:r>
      <w:r w:rsidR="001B6774" w:rsidRPr="001B6774">
        <w:rPr>
          <w:rFonts w:ascii="Bookman Old Style" w:hAnsi="Bookman Old Style" w:cs="Helvetica"/>
          <w:bCs/>
          <w:i/>
          <w:sz w:val="28"/>
          <w:szCs w:val="28"/>
        </w:rPr>
        <w:t>nistro dello sviluppo economico</w:t>
      </w:r>
    </w:p>
    <w:p w14:paraId="44A4E86D" w14:textId="77777777" w:rsidR="001B6774" w:rsidRPr="001B6774" w:rsidRDefault="003811E3" w:rsidP="001B6774">
      <w:pPr>
        <w:spacing w:after="0"/>
        <w:jc w:val="center"/>
        <w:rPr>
          <w:rFonts w:ascii="Bookman Old Style" w:hAnsi="Bookman Old Style" w:cs="Helvetica"/>
          <w:bCs/>
          <w:i/>
          <w:sz w:val="28"/>
          <w:szCs w:val="28"/>
        </w:rPr>
      </w:pPr>
      <w:r w:rsidRPr="001B6774">
        <w:rPr>
          <w:rFonts w:ascii="Bookman Old Style" w:hAnsi="Bookman Old Style" w:cs="Helvetica"/>
          <w:bCs/>
          <w:i/>
          <w:sz w:val="28"/>
          <w:szCs w:val="28"/>
        </w:rPr>
        <w:t>e del Ministro dell'ambiente e della t</w:t>
      </w:r>
      <w:r w:rsidR="001B6774" w:rsidRPr="001B6774">
        <w:rPr>
          <w:rFonts w:ascii="Bookman Old Style" w:hAnsi="Bookman Old Style" w:cs="Helvetica"/>
          <w:bCs/>
          <w:i/>
          <w:sz w:val="28"/>
          <w:szCs w:val="28"/>
        </w:rPr>
        <w:t>utela del territorio e del mare</w:t>
      </w:r>
    </w:p>
    <w:p w14:paraId="2873D458" w14:textId="057576C4" w:rsidR="001B6774" w:rsidRPr="001B6774" w:rsidRDefault="001B6774" w:rsidP="001B6774">
      <w:pPr>
        <w:spacing w:after="0"/>
        <w:jc w:val="center"/>
        <w:rPr>
          <w:rFonts w:ascii="Bookman Old Style" w:hAnsi="Bookman Old Style" w:cs="Helvetica"/>
          <w:bCs/>
          <w:i/>
          <w:sz w:val="28"/>
          <w:szCs w:val="28"/>
        </w:rPr>
      </w:pPr>
      <w:r w:rsidRPr="001B6774">
        <w:rPr>
          <w:rFonts w:ascii="Bookman Old Style" w:hAnsi="Bookman Old Style" w:cs="Helvetica"/>
          <w:bCs/>
          <w:i/>
          <w:sz w:val="28"/>
          <w:szCs w:val="28"/>
        </w:rPr>
        <w:t>per la definizione del</w:t>
      </w:r>
      <w:r w:rsidR="003811E3" w:rsidRPr="001B6774">
        <w:rPr>
          <w:rFonts w:ascii="Bookman Old Style" w:hAnsi="Bookman Old Style" w:cs="Helvetica"/>
          <w:bCs/>
          <w:i/>
          <w:sz w:val="28"/>
          <w:szCs w:val="28"/>
        </w:rPr>
        <w:t xml:space="preserve">le modalità </w:t>
      </w:r>
      <w:r w:rsidRPr="001B6774">
        <w:rPr>
          <w:rFonts w:ascii="Bookman Old Style" w:hAnsi="Bookman Old Style" w:cs="Helvetica"/>
          <w:bCs/>
          <w:i/>
          <w:sz w:val="28"/>
          <w:szCs w:val="28"/>
        </w:rPr>
        <w:t>d’impiego</w:t>
      </w:r>
    </w:p>
    <w:p w14:paraId="7E6A7A72" w14:textId="7EA60D34" w:rsidR="003811E3" w:rsidRDefault="003811E3" w:rsidP="001B6774">
      <w:pPr>
        <w:spacing w:after="0"/>
        <w:jc w:val="center"/>
        <w:rPr>
          <w:rFonts w:ascii="Bookman Old Style" w:hAnsi="Bookman Old Style" w:cs="Helvetica"/>
          <w:bCs/>
          <w:i/>
          <w:sz w:val="28"/>
          <w:szCs w:val="28"/>
        </w:rPr>
      </w:pPr>
      <w:r w:rsidRPr="001B6774">
        <w:rPr>
          <w:rFonts w:ascii="Bookman Old Style" w:hAnsi="Bookman Old Style" w:cs="Helvetica"/>
          <w:bCs/>
          <w:i/>
          <w:sz w:val="28"/>
          <w:szCs w:val="28"/>
        </w:rPr>
        <w:t>del Fondo nazionale per l'efficienza energetica</w:t>
      </w:r>
    </w:p>
    <w:p w14:paraId="10E1754A" w14:textId="77777777" w:rsidR="001B6774" w:rsidRPr="001B6774" w:rsidRDefault="001B6774" w:rsidP="001B6774">
      <w:pPr>
        <w:spacing w:after="0"/>
        <w:jc w:val="center"/>
        <w:rPr>
          <w:rFonts w:ascii="Bookman Old Style" w:hAnsi="Bookman Old Style" w:cs="Helvetica"/>
          <w:bCs/>
          <w:i/>
          <w:sz w:val="28"/>
          <w:szCs w:val="28"/>
        </w:rPr>
      </w:pPr>
    </w:p>
    <w:p w14:paraId="41596D89" w14:textId="1ECBF0CC" w:rsidR="001B6774" w:rsidRDefault="001B6774" w:rsidP="005F2C00">
      <w:pPr>
        <w:jc w:val="center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*     *     *</w:t>
      </w:r>
    </w:p>
    <w:p w14:paraId="5A2DB6D8" w14:textId="649AF8D7" w:rsidR="0004063C" w:rsidRDefault="00881CA0" w:rsidP="005F2C00">
      <w:pPr>
        <w:jc w:val="center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Conferenza Unificata 26 ottobre 2017</w:t>
      </w:r>
    </w:p>
    <w:p w14:paraId="2849437F" w14:textId="0DB9A14D" w:rsidR="00881CA0" w:rsidRPr="0081339B" w:rsidRDefault="00881CA0" w:rsidP="005F2C00">
      <w:pPr>
        <w:jc w:val="center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Punto 7) Odg</w:t>
      </w:r>
    </w:p>
    <w:p w14:paraId="08EFDE7D" w14:textId="77777777" w:rsidR="00BB609C" w:rsidRDefault="00BB609C" w:rsidP="00BE3CAB">
      <w:pPr>
        <w:jc w:val="both"/>
        <w:rPr>
          <w:rStyle w:val="Enfasigrassetto"/>
          <w:rFonts w:ascii="Bookman Old Style" w:hAnsi="Bookman Old Style" w:cs="Helvetica"/>
          <w:sz w:val="24"/>
          <w:szCs w:val="24"/>
        </w:rPr>
      </w:pPr>
    </w:p>
    <w:p w14:paraId="6F059993" w14:textId="0C9E5116" w:rsidR="000623F2" w:rsidRDefault="00C1429E" w:rsidP="00EC0728">
      <w:pPr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A seguito della</w:t>
      </w:r>
      <w:r w:rsidR="00BB609C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riunione tecnica del 10 ottobr</w:t>
      </w:r>
      <w:r w:rsidR="00B205C5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e scorso, 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in cui Regioni, Anci ed UPI hanno illustrato proposte emendative allo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schema di decreto in oggetto, i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l Ministero dello Sviluppo Economico ha trasmesso una nuova versione del testo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che recepisce parte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de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gli emendamenti presentati.</w:t>
      </w:r>
    </w:p>
    <w:p w14:paraId="2E6602B2" w14:textId="74796917" w:rsidR="00C1429E" w:rsidRDefault="00C1429E" w:rsidP="00EC0728">
      <w:pPr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L’Unione delle Province d’Italia, nel </w:t>
      </w:r>
      <w:r w:rsidR="001B6774">
        <w:rPr>
          <w:rStyle w:val="Enfasigrassetto"/>
          <w:rFonts w:ascii="Bookman Old Style" w:hAnsi="Bookman Old Style" w:cs="Helvetica"/>
          <w:b w:val="0"/>
          <w:sz w:val="24"/>
          <w:szCs w:val="24"/>
        </w:rPr>
        <w:t>rammentare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la </w:t>
      </w:r>
      <w:r w:rsidR="001B6774">
        <w:rPr>
          <w:rStyle w:val="Enfasigrassetto"/>
          <w:rFonts w:ascii="Bookman Old Style" w:hAnsi="Bookman Old Style" w:cs="Helvetica"/>
          <w:b w:val="0"/>
          <w:sz w:val="24"/>
          <w:szCs w:val="24"/>
        </w:rPr>
        <w:t>grave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situazione finanziaria </w:t>
      </w:r>
      <w:r w:rsidR="001B6774">
        <w:rPr>
          <w:rStyle w:val="Enfasigrassetto"/>
          <w:rFonts w:ascii="Bookman Old Style" w:hAnsi="Bookman Old Style" w:cs="Helvetica"/>
          <w:b w:val="0"/>
          <w:sz w:val="24"/>
          <w:szCs w:val="24"/>
        </w:rPr>
        <w:t>del</w:t>
      </w:r>
      <w:r w:rsidR="007C720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le Province, fa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tuttora </w:t>
      </w:r>
      <w:r w:rsidR="007C720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presente che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il</w:t>
      </w:r>
      <w:r w:rsidR="007C720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meccanismo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previsto dalla bozza di provvedimento, </w:t>
      </w:r>
      <w:r w:rsidR="007C720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che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concede</w:t>
      </w:r>
      <w:r w:rsidR="007C720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agevolazioni per </w:t>
      </w:r>
      <w:r w:rsidR="007B6132">
        <w:rPr>
          <w:rStyle w:val="Enfasigrassetto"/>
          <w:rFonts w:ascii="Bookman Old Style" w:hAnsi="Bookman Old Style" w:cs="Helvetica"/>
          <w:b w:val="0"/>
          <w:sz w:val="24"/>
          <w:szCs w:val="24"/>
        </w:rPr>
        <w:t>una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sola</w:t>
      </w:r>
      <w:r w:rsidR="007B6132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quota degl</w:t>
      </w:r>
      <w:r w:rsidR="007C720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i investimenti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proposti di </w:t>
      </w:r>
      <w:r w:rsidR="008B07DD">
        <w:rPr>
          <w:rStyle w:val="Enfasigrassetto"/>
          <w:rFonts w:ascii="Bookman Old Style" w:hAnsi="Bookman Old Style" w:cs="Helvetica"/>
          <w:b w:val="0"/>
          <w:sz w:val="24"/>
          <w:szCs w:val="24"/>
        </w:rPr>
        <w:t>effic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>ienza energetica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non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mette i nostri E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nti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nella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condizione di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attuare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azioni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>significative di riqualificazione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degli stabili provinciali, </w:t>
      </w:r>
      <w:r w:rsidR="00E568E5">
        <w:rPr>
          <w:rStyle w:val="Enfasigrassetto"/>
          <w:rFonts w:ascii="Bookman Old Style" w:hAnsi="Bookman Old Style" w:cs="Helvetica"/>
          <w:b w:val="0"/>
          <w:sz w:val="24"/>
          <w:szCs w:val="24"/>
        </w:rPr>
        <w:t>per via del</w:t>
      </w:r>
      <w:r w:rsidR="00DF67D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la loro consistenza edilizia e </w:t>
      </w:r>
      <w:r w:rsidR="00E568E5">
        <w:rPr>
          <w:rStyle w:val="Enfasigrassetto"/>
          <w:rFonts w:ascii="Bookman Old Style" w:hAnsi="Bookman Old Style" w:cs="Helvetica"/>
          <w:b w:val="0"/>
          <w:sz w:val="24"/>
          <w:szCs w:val="24"/>
        </w:rPr>
        <w:t>delle tipologie costruttive più ricorrenti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>.</w:t>
      </w:r>
    </w:p>
    <w:p w14:paraId="4BB528DE" w14:textId="252EFF57" w:rsidR="00DF67DF" w:rsidRDefault="00DF67DF" w:rsidP="00EC0728">
      <w:pPr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Deve considerarsi, a tal riguardo, che il costo degli interventi non </w:t>
      </w:r>
      <w:r w:rsidR="006450A9">
        <w:rPr>
          <w:rStyle w:val="Enfasigrassetto"/>
          <w:rFonts w:ascii="Bookman Old Style" w:hAnsi="Bookman Old Style" w:cs="Helvetica"/>
          <w:b w:val="0"/>
          <w:sz w:val="24"/>
          <w:szCs w:val="24"/>
        </w:rPr>
        <w:t>è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integralmente </w:t>
      </w:r>
      <w:r w:rsidR="006450A9">
        <w:rPr>
          <w:rStyle w:val="Enfasigrassetto"/>
          <w:rFonts w:ascii="Bookman Old Style" w:hAnsi="Bookman Old Style" w:cs="Helvetica"/>
          <w:b w:val="0"/>
          <w:sz w:val="24"/>
          <w:szCs w:val="24"/>
        </w:rPr>
        <w:t>sottoponibile a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6450A9">
        <w:rPr>
          <w:rStyle w:val="Enfasigrassetto"/>
          <w:rFonts w:ascii="Bookman Old Style" w:hAnsi="Bookman Old Style" w:cs="Helvetica"/>
          <w:b w:val="0"/>
          <w:sz w:val="24"/>
          <w:szCs w:val="24"/>
        </w:rPr>
        <w:t>procedure per l’ottenimento di incentivi e rimborsi, poiché non si rivelerebbero computabili a tali fini consistenti lavori, i quali, pur connessi alla primaria finalità di efficientamento, dovranno necessariamente essere eseguiti per l’adeguamento degli impianti, il ripristino le finiture e il rinforzo degli elementi strutturali, il cui miglioramento sismico è peraltro auspicato dallo stesso provvedimento posto in esame.</w:t>
      </w:r>
    </w:p>
    <w:p w14:paraId="26F96192" w14:textId="1F178A60" w:rsidR="00E568E5" w:rsidRDefault="00DF67DF" w:rsidP="00F13007">
      <w:pPr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Specie </w:t>
      </w:r>
      <w:r w:rsidR="00787B15">
        <w:rPr>
          <w:rStyle w:val="Enfasigrassetto"/>
          <w:rFonts w:ascii="Bookman Old Style" w:hAnsi="Bookman Old Style" w:cs="Helvetica"/>
          <w:b w:val="0"/>
          <w:sz w:val="24"/>
          <w:szCs w:val="24"/>
        </w:rPr>
        <w:t>in riferimento alla situazione delle</w:t>
      </w:r>
      <w:r w:rsidR="00C435C1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Province</w:t>
      </w:r>
      <w:r w:rsidRPr="00510DEE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,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7F4DD9">
        <w:rPr>
          <w:rStyle w:val="Enfasigrassetto"/>
          <w:rFonts w:ascii="Bookman Old Style" w:hAnsi="Bookman Old Style" w:cs="Helvetica"/>
          <w:b w:val="0"/>
          <w:sz w:val="24"/>
          <w:szCs w:val="24"/>
        </w:rPr>
        <w:t>è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510DEE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quindi </w:t>
      </w:r>
      <w:r w:rsidR="007F4DD9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indispensabile poter </w:t>
      </w:r>
      <w:r w:rsidR="00510DEE">
        <w:rPr>
          <w:rStyle w:val="Enfasigrassetto"/>
          <w:rFonts w:ascii="Bookman Old Style" w:hAnsi="Bookman Old Style" w:cs="Helvetica"/>
          <w:b w:val="0"/>
          <w:sz w:val="24"/>
          <w:szCs w:val="24"/>
        </w:rPr>
        <w:t>disporre del</w:t>
      </w:r>
      <w:r w:rsidR="007F4DD9">
        <w:rPr>
          <w:rStyle w:val="Enfasigrassetto"/>
          <w:rFonts w:ascii="Bookman Old Style" w:hAnsi="Bookman Old Style" w:cs="Helvetica"/>
          <w:b w:val="0"/>
          <w:sz w:val="24"/>
          <w:szCs w:val="24"/>
        </w:rPr>
        <w:t>l</w:t>
      </w:r>
      <w:r w:rsidR="00510DEE">
        <w:rPr>
          <w:rStyle w:val="Enfasigrassetto"/>
          <w:rFonts w:ascii="Bookman Old Style" w:hAnsi="Bookman Old Style" w:cs="Helvetica"/>
          <w:b w:val="0"/>
          <w:sz w:val="24"/>
          <w:szCs w:val="24"/>
        </w:rPr>
        <w:t>’integrale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copertura dei costi</w:t>
      </w:r>
      <w:r w:rsidR="00510DEE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con le misure di </w:t>
      </w:r>
      <w:r w:rsidR="007F4DD9">
        <w:rPr>
          <w:rStyle w:val="Enfasigrassetto"/>
          <w:rFonts w:ascii="Bookman Old Style" w:hAnsi="Bookman Old Style" w:cs="Helvetica"/>
          <w:b w:val="0"/>
          <w:sz w:val="24"/>
          <w:szCs w:val="24"/>
        </w:rPr>
        <w:t>agevolazione</w:t>
      </w:r>
      <w:r w:rsidR="00510DEE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programmate dal MiSE</w:t>
      </w:r>
      <w:r w:rsidR="00F13007">
        <w:rPr>
          <w:rStyle w:val="Enfasigrassetto"/>
          <w:rFonts w:ascii="Bookman Old Style" w:hAnsi="Bookman Old Style" w:cs="Helvetica"/>
          <w:b w:val="0"/>
          <w:sz w:val="24"/>
          <w:szCs w:val="24"/>
        </w:rPr>
        <w:t>.</w:t>
      </w:r>
    </w:p>
    <w:p w14:paraId="0D9EC2BB" w14:textId="46DE4F69" w:rsidR="00E568E5" w:rsidRDefault="00F13007" w:rsidP="007017EA">
      <w:pPr>
        <w:jc w:val="both"/>
        <w:rPr>
          <w:rFonts w:ascii="Bookman Old Style" w:hAnsi="Bookman Old Style" w:cs="Helvetica"/>
          <w:bCs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Come </w:t>
      </w:r>
      <w:r w:rsidR="00E568E5">
        <w:rPr>
          <w:rStyle w:val="Enfasigrassetto"/>
          <w:rFonts w:ascii="Bookman Old Style" w:hAnsi="Bookman Old Style" w:cs="Helvetica"/>
          <w:b w:val="0"/>
          <w:sz w:val="24"/>
          <w:szCs w:val="24"/>
        </w:rPr>
        <w:t>segnalato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in sede tecnica, </w:t>
      </w:r>
      <w:r w:rsidR="00EA04F0">
        <w:rPr>
          <w:rStyle w:val="Enfasigrassetto"/>
          <w:rFonts w:ascii="Bookman Old Style" w:hAnsi="Bookman Old Style" w:cs="Helvetica"/>
          <w:b w:val="0"/>
          <w:sz w:val="24"/>
          <w:szCs w:val="24"/>
        </w:rPr>
        <w:t>poiché è condivisa</w:t>
      </w:r>
      <w:r w:rsidR="00D10A4B">
        <w:rPr>
          <w:rFonts w:ascii="Bookman Old Style" w:hAnsi="Bookman Old Style" w:cs="Helvetica"/>
          <w:b/>
          <w:bCs/>
          <w:sz w:val="24"/>
          <w:szCs w:val="24"/>
        </w:rPr>
        <w:t xml:space="preserve"> </w:t>
      </w:r>
      <w:r w:rsidR="00EA04F0">
        <w:rPr>
          <w:rFonts w:ascii="Bookman Old Style" w:hAnsi="Bookman Old Style" w:cs="Helvetica"/>
          <w:b/>
          <w:bCs/>
          <w:sz w:val="24"/>
          <w:szCs w:val="24"/>
        </w:rPr>
        <w:t>l’urgente</w:t>
      </w:r>
      <w:r w:rsidR="00D10A4B" w:rsidRPr="00D10A4B">
        <w:rPr>
          <w:rFonts w:ascii="Bookman Old Style" w:hAnsi="Bookman Old Style" w:cs="Helvetica"/>
          <w:b/>
          <w:bCs/>
          <w:sz w:val="24"/>
          <w:szCs w:val="24"/>
        </w:rPr>
        <w:t xml:space="preserve"> </w:t>
      </w:r>
      <w:r w:rsidR="00EA04F0">
        <w:rPr>
          <w:rFonts w:ascii="Bookman Old Style" w:hAnsi="Bookman Old Style" w:cs="Helvetica"/>
          <w:b/>
          <w:bCs/>
          <w:sz w:val="24"/>
          <w:szCs w:val="24"/>
        </w:rPr>
        <w:t xml:space="preserve">esigenza </w:t>
      </w:r>
      <w:r w:rsidR="00D10A4B" w:rsidRPr="00D10A4B">
        <w:rPr>
          <w:rFonts w:ascii="Bookman Old Style" w:hAnsi="Bookman Old Style" w:cs="Helvetica"/>
          <w:b/>
          <w:bCs/>
          <w:sz w:val="24"/>
          <w:szCs w:val="24"/>
        </w:rPr>
        <w:t>di</w:t>
      </w:r>
      <w:r w:rsidR="00E568E5">
        <w:rPr>
          <w:rFonts w:ascii="Bookman Old Style" w:hAnsi="Bookman Old Style" w:cs="Helvetica"/>
          <w:b/>
          <w:bCs/>
          <w:sz w:val="24"/>
          <w:szCs w:val="24"/>
        </w:rPr>
        <w:t xml:space="preserve"> dare</w:t>
      </w:r>
      <w:r w:rsidR="00D10A4B" w:rsidRPr="00D10A4B">
        <w:rPr>
          <w:rFonts w:ascii="Bookman Old Style" w:hAnsi="Bookman Old Style" w:cs="Helvetica"/>
          <w:b/>
          <w:bCs/>
          <w:sz w:val="24"/>
          <w:szCs w:val="24"/>
        </w:rPr>
        <w:t xml:space="preserve"> </w:t>
      </w:r>
      <w:r w:rsidR="00E568E5">
        <w:rPr>
          <w:rFonts w:ascii="Bookman Old Style" w:hAnsi="Bookman Old Style" w:cs="Helvetica"/>
          <w:b/>
          <w:bCs/>
          <w:sz w:val="24"/>
          <w:szCs w:val="24"/>
        </w:rPr>
        <w:t xml:space="preserve">avvio ad </w:t>
      </w:r>
      <w:r w:rsidR="00D10A4B" w:rsidRPr="00D10A4B">
        <w:rPr>
          <w:rFonts w:ascii="Bookman Old Style" w:hAnsi="Bookman Old Style" w:cs="Helvetica"/>
          <w:b/>
          <w:bCs/>
          <w:sz w:val="24"/>
          <w:szCs w:val="24"/>
        </w:rPr>
        <w:t>azioni più incisive e sinergiche</w:t>
      </w:r>
      <w:r w:rsidR="00E568E5">
        <w:rPr>
          <w:rFonts w:ascii="Bookman Old Style" w:hAnsi="Bookman Old Style" w:cs="Helvetica"/>
          <w:b/>
          <w:bCs/>
          <w:sz w:val="24"/>
          <w:szCs w:val="24"/>
        </w:rPr>
        <w:t xml:space="preserve"> protese all</w:t>
      </w:r>
      <w:r>
        <w:rPr>
          <w:rFonts w:ascii="Bookman Old Style" w:hAnsi="Bookman Old Style" w:cs="Helvetica"/>
          <w:b/>
          <w:bCs/>
          <w:sz w:val="24"/>
          <w:szCs w:val="24"/>
        </w:rPr>
        <w:t>’efficienza energetica</w:t>
      </w:r>
      <w:r w:rsidR="00E568E5">
        <w:rPr>
          <w:rFonts w:ascii="Bookman Old Style" w:hAnsi="Bookman Old Style" w:cs="Helvetica"/>
          <w:b/>
          <w:bCs/>
          <w:sz w:val="24"/>
          <w:szCs w:val="24"/>
        </w:rPr>
        <w:t xml:space="preserve"> degli </w:t>
      </w:r>
      <w:r w:rsidR="00E568E5">
        <w:rPr>
          <w:rFonts w:ascii="Bookman Old Style" w:hAnsi="Bookman Old Style" w:cs="Helvetica"/>
          <w:b/>
          <w:bCs/>
          <w:sz w:val="24"/>
          <w:szCs w:val="24"/>
        </w:rPr>
        <w:lastRenderedPageBreak/>
        <w:t>edifici pubblici</w:t>
      </w:r>
      <w:r w:rsidR="00E568E5">
        <w:rPr>
          <w:rFonts w:ascii="Bookman Old Style" w:hAnsi="Bookman Old Style" w:cs="Helvetica"/>
          <w:bCs/>
          <w:sz w:val="24"/>
          <w:szCs w:val="24"/>
        </w:rPr>
        <w:t xml:space="preserve">, </w:t>
      </w:r>
      <w:r w:rsidR="00EA04F0">
        <w:rPr>
          <w:rFonts w:ascii="Bookman Old Style" w:hAnsi="Bookman Old Style" w:cs="Helvetica"/>
          <w:bCs/>
          <w:sz w:val="24"/>
          <w:szCs w:val="24"/>
        </w:rPr>
        <w:t xml:space="preserve">devono </w:t>
      </w:r>
      <w:r w:rsidR="008C3127">
        <w:rPr>
          <w:rFonts w:ascii="Bookman Old Style" w:hAnsi="Bookman Old Style" w:cs="Helvetica"/>
          <w:bCs/>
          <w:sz w:val="24"/>
          <w:szCs w:val="24"/>
        </w:rPr>
        <w:t>confermarsi</w:t>
      </w:r>
      <w:r w:rsidR="00E568E5">
        <w:rPr>
          <w:rFonts w:ascii="Bookman Old Style" w:hAnsi="Bookman Old Style" w:cs="Helvetica"/>
          <w:bCs/>
          <w:sz w:val="24"/>
          <w:szCs w:val="24"/>
        </w:rPr>
        <w:t xml:space="preserve"> le</w:t>
      </w:r>
      <w:r>
        <w:rPr>
          <w:rFonts w:ascii="Bookman Old Style" w:hAnsi="Bookman Old Style" w:cs="Helvetica"/>
          <w:bCs/>
          <w:sz w:val="24"/>
          <w:szCs w:val="24"/>
        </w:rPr>
        <w:t xml:space="preserve"> perplessità</w:t>
      </w:r>
      <w:r w:rsidR="00D10A4B"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="00E568E5">
        <w:rPr>
          <w:rFonts w:ascii="Bookman Old Style" w:hAnsi="Bookman Old Style" w:cs="Helvetica"/>
          <w:bCs/>
          <w:sz w:val="24"/>
          <w:szCs w:val="24"/>
        </w:rPr>
        <w:t xml:space="preserve">già espresse circa </w:t>
      </w:r>
      <w:r w:rsidR="00D10A4B">
        <w:rPr>
          <w:rFonts w:ascii="Bookman Old Style" w:hAnsi="Bookman Old Style" w:cs="Helvetica"/>
          <w:bCs/>
          <w:sz w:val="24"/>
          <w:szCs w:val="24"/>
        </w:rPr>
        <w:t xml:space="preserve">l’impianto </w:t>
      </w:r>
      <w:r w:rsidR="00E568E5">
        <w:rPr>
          <w:rFonts w:ascii="Bookman Old Style" w:hAnsi="Bookman Old Style" w:cs="Helvetica"/>
          <w:bCs/>
          <w:sz w:val="24"/>
          <w:szCs w:val="24"/>
        </w:rPr>
        <w:t>di</w:t>
      </w:r>
      <w:r w:rsidR="00D10A4B"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="00D10A4B" w:rsidRPr="00EA04F0">
        <w:rPr>
          <w:rFonts w:ascii="Bookman Old Style" w:hAnsi="Bookman Old Style" w:cs="Helvetica"/>
          <w:bCs/>
          <w:i/>
          <w:sz w:val="24"/>
          <w:szCs w:val="24"/>
        </w:rPr>
        <w:t>governance</w:t>
      </w:r>
      <w:r w:rsidR="00E568E5">
        <w:rPr>
          <w:rFonts w:ascii="Bookman Old Style" w:hAnsi="Bookman Old Style" w:cs="Helvetica"/>
          <w:bCs/>
          <w:sz w:val="24"/>
          <w:szCs w:val="24"/>
        </w:rPr>
        <w:t xml:space="preserve"> ipotizzato dal provvedimento esaminato,</w:t>
      </w:r>
      <w:r w:rsidR="00D10A4B"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="00E568E5">
        <w:rPr>
          <w:rFonts w:ascii="Bookman Old Style" w:hAnsi="Bookman Old Style" w:cs="Helvetica"/>
          <w:bCs/>
          <w:sz w:val="24"/>
          <w:szCs w:val="24"/>
        </w:rPr>
        <w:t>secondo cui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la gestione del fondo </w:t>
      </w:r>
      <w:r w:rsidR="00E568E5">
        <w:rPr>
          <w:rFonts w:ascii="Bookman Old Style" w:hAnsi="Bookman Old Style" w:cs="Helvetica"/>
          <w:bCs/>
          <w:sz w:val="24"/>
          <w:szCs w:val="24"/>
        </w:rPr>
        <w:t xml:space="preserve">è posta </w:t>
      </w:r>
      <w:r w:rsidR="00EA04F0">
        <w:rPr>
          <w:rFonts w:ascii="Bookman Old Style" w:hAnsi="Bookman Old Style" w:cs="Helvetica"/>
          <w:bCs/>
          <w:sz w:val="24"/>
          <w:szCs w:val="24"/>
        </w:rPr>
        <w:t>in capo a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un soggetto </w:t>
      </w:r>
      <w:r w:rsidR="00EA04F0">
        <w:rPr>
          <w:rFonts w:ascii="Bookman Old Style" w:hAnsi="Bookman Old Style" w:cs="Helvetica"/>
          <w:bCs/>
          <w:sz w:val="24"/>
          <w:szCs w:val="24"/>
        </w:rPr>
        <w:t>di nuova concezione</w:t>
      </w:r>
      <w:r w:rsidR="00E568E5">
        <w:rPr>
          <w:rFonts w:ascii="Bookman Old Style" w:hAnsi="Bookman Old Style" w:cs="Helvetica"/>
          <w:bCs/>
          <w:sz w:val="24"/>
          <w:szCs w:val="24"/>
        </w:rPr>
        <w:t>,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="00EA04F0">
        <w:rPr>
          <w:rFonts w:ascii="Bookman Old Style" w:hAnsi="Bookman Old Style" w:cs="Helvetica"/>
          <w:bCs/>
          <w:sz w:val="24"/>
          <w:szCs w:val="24"/>
        </w:rPr>
        <w:t>distinto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="00EA04F0">
        <w:rPr>
          <w:rFonts w:ascii="Bookman Old Style" w:hAnsi="Bookman Old Style" w:cs="Helvetica"/>
          <w:bCs/>
          <w:sz w:val="24"/>
          <w:szCs w:val="24"/>
        </w:rPr>
        <w:t>da quello configurato per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="00EA04F0">
        <w:rPr>
          <w:rFonts w:ascii="Bookman Old Style" w:hAnsi="Bookman Old Style" w:cs="Helvetica"/>
          <w:bCs/>
          <w:sz w:val="24"/>
          <w:szCs w:val="24"/>
        </w:rPr>
        <w:t>analoghi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meccanismi finanziari </w:t>
      </w:r>
      <w:r w:rsidR="00E568E5">
        <w:rPr>
          <w:rFonts w:ascii="Bookman Old Style" w:hAnsi="Bookman Old Style" w:cs="Helvetica"/>
          <w:bCs/>
          <w:sz w:val="24"/>
          <w:szCs w:val="24"/>
        </w:rPr>
        <w:t>(es. conto t</w:t>
      </w:r>
      <w:r w:rsidR="001D64E1">
        <w:rPr>
          <w:rFonts w:ascii="Bookman Old Style" w:hAnsi="Bookman Old Style" w:cs="Helvetica"/>
          <w:bCs/>
          <w:sz w:val="24"/>
          <w:szCs w:val="24"/>
        </w:rPr>
        <w:t>ermico/GSE</w:t>
      </w:r>
      <w:r w:rsidR="00E568E5">
        <w:rPr>
          <w:rFonts w:ascii="Bookman Old Style" w:hAnsi="Bookman Old Style" w:cs="Helvetica"/>
          <w:bCs/>
          <w:sz w:val="24"/>
          <w:szCs w:val="24"/>
        </w:rPr>
        <w:t>), mentre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il coordinamento </w:t>
      </w:r>
      <w:r w:rsidR="00E568E5">
        <w:rPr>
          <w:rFonts w:ascii="Bookman Old Style" w:hAnsi="Bookman Old Style" w:cs="Helvetica"/>
          <w:bCs/>
          <w:sz w:val="24"/>
          <w:szCs w:val="24"/>
        </w:rPr>
        <w:t>è affidato a una “cabina di r</w:t>
      </w:r>
      <w:r w:rsidR="001D64E1">
        <w:rPr>
          <w:rFonts w:ascii="Bookman Old Style" w:hAnsi="Bookman Old Style" w:cs="Helvetica"/>
          <w:bCs/>
          <w:sz w:val="24"/>
          <w:szCs w:val="24"/>
        </w:rPr>
        <w:t>egia</w:t>
      </w:r>
      <w:r w:rsidR="00E568E5">
        <w:rPr>
          <w:rFonts w:ascii="Bookman Old Style" w:hAnsi="Bookman Old Style" w:cs="Helvetica"/>
          <w:bCs/>
          <w:sz w:val="24"/>
          <w:szCs w:val="24"/>
        </w:rPr>
        <w:t>”, inspiegabilmente</w:t>
      </w:r>
      <w:r w:rsidR="001D64E1">
        <w:rPr>
          <w:rFonts w:ascii="Bookman Old Style" w:hAnsi="Bookman Old Style" w:cs="Helvetica"/>
          <w:bCs/>
          <w:sz w:val="24"/>
          <w:szCs w:val="24"/>
        </w:rPr>
        <w:t xml:space="preserve"> priv</w:t>
      </w:r>
      <w:r w:rsidR="00E568E5">
        <w:rPr>
          <w:rFonts w:ascii="Bookman Old Style" w:hAnsi="Bookman Old Style" w:cs="Helvetica"/>
          <w:bCs/>
          <w:sz w:val="24"/>
          <w:szCs w:val="24"/>
        </w:rPr>
        <w:t>a della presenza di Regioni ed E</w:t>
      </w:r>
      <w:r w:rsidR="002A01C1">
        <w:rPr>
          <w:rFonts w:ascii="Bookman Old Style" w:hAnsi="Bookman Old Style" w:cs="Helvetica"/>
          <w:bCs/>
          <w:sz w:val="24"/>
          <w:szCs w:val="24"/>
        </w:rPr>
        <w:t>nti locali.</w:t>
      </w:r>
    </w:p>
    <w:p w14:paraId="26252062" w14:textId="2572D272" w:rsidR="007017EA" w:rsidRDefault="00F13007" w:rsidP="007017EA">
      <w:pPr>
        <w:jc w:val="both"/>
        <w:rPr>
          <w:rFonts w:ascii="Bookman Old Style" w:hAnsi="Bookman Old Style" w:cs="Helvetica"/>
          <w:bCs/>
          <w:sz w:val="24"/>
          <w:szCs w:val="24"/>
        </w:rPr>
      </w:pPr>
      <w:r>
        <w:rPr>
          <w:rFonts w:ascii="Bookman Old Style" w:hAnsi="Bookman Old Style" w:cs="Helvetica"/>
          <w:bCs/>
          <w:sz w:val="24"/>
          <w:szCs w:val="24"/>
        </w:rPr>
        <w:t xml:space="preserve">Si </w:t>
      </w:r>
      <w:r w:rsidR="00881CA0">
        <w:rPr>
          <w:rFonts w:ascii="Bookman Old Style" w:hAnsi="Bookman Old Style" w:cs="Helvetica"/>
          <w:bCs/>
          <w:sz w:val="24"/>
          <w:szCs w:val="24"/>
        </w:rPr>
        <w:t xml:space="preserve">fornisce quindi parere favorevole, </w:t>
      </w:r>
      <w:r w:rsidR="00913393">
        <w:rPr>
          <w:rFonts w:ascii="Bookman Old Style" w:hAnsi="Bookman Old Style" w:cs="Helvetica"/>
          <w:bCs/>
          <w:sz w:val="24"/>
          <w:szCs w:val="24"/>
        </w:rPr>
        <w:t>riproponendo allo stesso tempo</w:t>
      </w:r>
      <w:r w:rsidR="008C3127">
        <w:rPr>
          <w:rFonts w:ascii="Bookman Old Style" w:hAnsi="Bookman Old Style" w:cs="Helvetica"/>
          <w:bCs/>
          <w:sz w:val="24"/>
          <w:szCs w:val="24"/>
        </w:rPr>
        <w:t xml:space="preserve"> </w:t>
      </w:r>
      <w:r>
        <w:rPr>
          <w:rFonts w:ascii="Bookman Old Style" w:hAnsi="Bookman Old Style" w:cs="Helvetica"/>
          <w:bCs/>
          <w:sz w:val="24"/>
          <w:szCs w:val="24"/>
        </w:rPr>
        <w:t xml:space="preserve">le proposte emendative illustrate </w:t>
      </w:r>
      <w:r w:rsidR="00913393">
        <w:rPr>
          <w:rFonts w:ascii="Bookman Old Style" w:hAnsi="Bookman Old Style" w:cs="Helvetica"/>
          <w:bCs/>
          <w:sz w:val="24"/>
          <w:szCs w:val="24"/>
        </w:rPr>
        <w:t>in sede tecnica</w:t>
      </w:r>
      <w:r w:rsidR="002A01C1">
        <w:rPr>
          <w:rFonts w:ascii="Bookman Old Style" w:hAnsi="Bookman Old Style" w:cs="Helvetica"/>
          <w:bCs/>
          <w:sz w:val="24"/>
          <w:szCs w:val="24"/>
        </w:rPr>
        <w:t>,</w:t>
      </w:r>
      <w:r>
        <w:rPr>
          <w:rFonts w:ascii="Bookman Old Style" w:hAnsi="Bookman Old Style" w:cs="Helvetica"/>
          <w:bCs/>
          <w:sz w:val="24"/>
          <w:szCs w:val="24"/>
        </w:rPr>
        <w:t xml:space="preserve"> che </w:t>
      </w:r>
      <w:r w:rsidR="002A01C1">
        <w:rPr>
          <w:rFonts w:ascii="Bookman Old Style" w:hAnsi="Bookman Old Style" w:cs="Helvetica"/>
          <w:bCs/>
          <w:sz w:val="24"/>
          <w:szCs w:val="24"/>
        </w:rPr>
        <w:t>appaiono non</w:t>
      </w:r>
      <w:r>
        <w:rPr>
          <w:rFonts w:ascii="Bookman Old Style" w:hAnsi="Bookman Old Style" w:cs="Helvetica"/>
          <w:bCs/>
          <w:sz w:val="24"/>
          <w:szCs w:val="24"/>
        </w:rPr>
        <w:t xml:space="preserve"> accolte nella riformulazione</w:t>
      </w:r>
      <w:r w:rsidR="002A01C1">
        <w:rPr>
          <w:rFonts w:ascii="Bookman Old Style" w:hAnsi="Bookman Old Style" w:cs="Helvetica"/>
          <w:bCs/>
          <w:sz w:val="24"/>
          <w:szCs w:val="24"/>
        </w:rPr>
        <w:t xml:space="preserve"> del provvedimento tramessa dal MiSE.</w:t>
      </w:r>
    </w:p>
    <w:p w14:paraId="0E578129" w14:textId="77777777" w:rsidR="008C3127" w:rsidRDefault="008C3127" w:rsidP="00DD452B">
      <w:pPr>
        <w:jc w:val="both"/>
        <w:rPr>
          <w:rFonts w:ascii="Bookman Old Style" w:hAnsi="Bookman Old Style" w:cs="Helvetica"/>
          <w:bCs/>
          <w:sz w:val="24"/>
          <w:szCs w:val="24"/>
        </w:rPr>
      </w:pPr>
      <w:r>
        <w:rPr>
          <w:rFonts w:ascii="Bookman Old Style" w:hAnsi="Bookman Old Style" w:cs="Helvetica"/>
          <w:bCs/>
          <w:sz w:val="24"/>
          <w:szCs w:val="24"/>
        </w:rPr>
        <w:t>In particolare:</w:t>
      </w:r>
    </w:p>
    <w:p w14:paraId="5B16C079" w14:textId="69C10193" w:rsidR="007F7A9C" w:rsidRDefault="008C3127" w:rsidP="008C3127">
      <w:pPr>
        <w:ind w:left="709" w:hanging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Fonts w:ascii="Bookman Old Style" w:hAnsi="Bookman Old Style" w:cs="Helvetica"/>
          <w:bCs/>
          <w:sz w:val="24"/>
          <w:szCs w:val="24"/>
        </w:rPr>
        <w:t>A.</w:t>
      </w:r>
      <w:r>
        <w:rPr>
          <w:rFonts w:ascii="Bookman Old Style" w:hAnsi="Bookman Old Style" w:cs="Helvetica"/>
          <w:bCs/>
          <w:sz w:val="24"/>
          <w:szCs w:val="24"/>
        </w:rPr>
        <w:tab/>
      </w:r>
      <w:r w:rsidR="002A01C1">
        <w:rPr>
          <w:rFonts w:ascii="Bookman Old Style" w:hAnsi="Bookman Old Style" w:cs="Helvetica"/>
          <w:bCs/>
          <w:sz w:val="24"/>
          <w:szCs w:val="24"/>
        </w:rPr>
        <w:t xml:space="preserve">al </w:t>
      </w:r>
      <w:r w:rsidR="00DD452B" w:rsidRPr="00DD452B">
        <w:rPr>
          <w:rStyle w:val="Enfasigrassetto"/>
          <w:rFonts w:ascii="Bookman Old Style" w:hAnsi="Bookman Old Style" w:cs="Helvetica"/>
          <w:b w:val="0"/>
          <w:sz w:val="24"/>
          <w:szCs w:val="24"/>
        </w:rPr>
        <w:t>Capo I</w:t>
      </w:r>
      <w:r w:rsidR="00DD452B">
        <w:rPr>
          <w:rStyle w:val="Enfasigrassetto"/>
          <w:rFonts w:ascii="Bookman Old Style" w:hAnsi="Bookman Old Style" w:cs="Helvetica"/>
          <w:b w:val="0"/>
          <w:sz w:val="24"/>
          <w:szCs w:val="24"/>
        </w:rPr>
        <w:t>I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I</w:t>
      </w:r>
      <w:r w:rsidR="002A01C1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EA036A" w:rsidRPr="00A24668">
        <w:rPr>
          <w:rStyle w:val="Enfasigrassetto"/>
          <w:rFonts w:ascii="Bookman Old Style" w:hAnsi="Bookman Old Style" w:cs="Helvetica"/>
          <w:b w:val="0"/>
          <w:sz w:val="24"/>
          <w:szCs w:val="24"/>
        </w:rPr>
        <w:t>si propone la seguente riformulazione del</w:t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>l’Art.12, co.6:</w:t>
      </w:r>
    </w:p>
    <w:p w14:paraId="2D85C77D" w14:textId="68824328" w:rsidR="00DD452B" w:rsidRPr="008C3127" w:rsidRDefault="00EA036A" w:rsidP="008C3127">
      <w:pPr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8C312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“Gli enti locali possono assumere mutui e accedere ad altre forme di finanziamento, per le finalità di cui al presente decreto, in deroga all’art. 204 del decreto legislativo 18 agosto 2000, n. 267</w:t>
      </w:r>
      <w:r w:rsidR="007F7A9C" w:rsidRPr="008C312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”</w:t>
      </w:r>
      <w:r w:rsidRPr="008C312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. </w:t>
      </w:r>
    </w:p>
    <w:p w14:paraId="32A1E7AF" w14:textId="77777777" w:rsidR="00653C66" w:rsidRDefault="00A24668" w:rsidP="00653C66">
      <w:pPr>
        <w:spacing w:after="40"/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 w:rsidRPr="008C3127">
        <w:rPr>
          <w:rStyle w:val="Enfasigrassetto"/>
          <w:rFonts w:ascii="Bookman Old Style" w:hAnsi="Bookman Old Style" w:cs="Helvetica"/>
          <w:b w:val="0"/>
          <w:i/>
          <w:sz w:val="24"/>
          <w:szCs w:val="24"/>
          <w:u w:val="single"/>
        </w:rPr>
        <w:t>Motivazione</w:t>
      </w:r>
    </w:p>
    <w:p w14:paraId="4443A29C" w14:textId="0841F9B2" w:rsidR="00A24668" w:rsidRPr="008C3127" w:rsidRDefault="00653C66" w:rsidP="008C3127">
      <w:pPr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L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a mancanza di deroga dai limiti di indebitamento previsti dal TUEL compromette l’intera utilizzabilità ed efficacia del meccanismo del fondo, dando accesso soltanto a poche amministrazioni. Al contrario, anche ai fini di calmierare il debito delle PA locali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, portandole a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un regime efficace e virtuoso dei conti pubblici, l’efficien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tamento del patrimonio pubblico - spesso energivoro -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ha impatti positivi in tale direzione. Si propone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d’altro canto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di inserire criteri di valutazione dei progetti presentati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orientati a dimostrare 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la convenienza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dello “sforamento” del limite </w:t>
      </w:r>
      <w:r w:rsidR="007F7A9C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>di legge de quo</w:t>
      </w:r>
      <w:r w:rsidR="00A24668" w:rsidRPr="008C312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. </w:t>
      </w:r>
    </w:p>
    <w:p w14:paraId="2AD261AF" w14:textId="623D840B" w:rsidR="00FE16A4" w:rsidRDefault="008C3127" w:rsidP="008C3127">
      <w:pPr>
        <w:ind w:left="709" w:hanging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B.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ab/>
        <w:t xml:space="preserve">Si propone </w:t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>di sostituire il co.</w:t>
      </w:r>
      <w:r w:rsidR="003026AD">
        <w:rPr>
          <w:rStyle w:val="Enfasigrassetto"/>
          <w:rFonts w:ascii="Bookman Old Style" w:hAnsi="Bookman Old Style" w:cs="Helvetica"/>
          <w:b w:val="0"/>
          <w:sz w:val="24"/>
          <w:szCs w:val="24"/>
        </w:rPr>
        <w:t>2</w:t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dell’art.13</w:t>
      </w:r>
      <w:r w:rsidR="003026AD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con il seguente:</w:t>
      </w:r>
    </w:p>
    <w:p w14:paraId="27B4E7CB" w14:textId="2FA2CD21" w:rsidR="003026AD" w:rsidRPr="00653C66" w:rsidRDefault="003026AD" w:rsidP="008C3127">
      <w:pPr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653C66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“2. Le agevolazioni di cui al comma 1 possono raggiungere anche il 100% dei costi agevolabili</w:t>
      </w:r>
      <w:r w:rsidR="007F7A9C" w:rsidRPr="00653C66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”</w:t>
      </w:r>
      <w:r w:rsidRPr="00653C66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.</w:t>
      </w:r>
    </w:p>
    <w:p w14:paraId="79C65292" w14:textId="77777777" w:rsidR="00001838" w:rsidRDefault="00FE16A4" w:rsidP="00001838">
      <w:pPr>
        <w:spacing w:after="40"/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653C66">
        <w:rPr>
          <w:rStyle w:val="Enfasigrassetto"/>
          <w:rFonts w:ascii="Bookman Old Style" w:hAnsi="Bookman Old Style" w:cs="Helvetica"/>
          <w:b w:val="0"/>
          <w:i/>
          <w:sz w:val="24"/>
          <w:szCs w:val="24"/>
          <w:u w:val="single"/>
        </w:rPr>
        <w:t>Motivazione</w:t>
      </w:r>
    </w:p>
    <w:p w14:paraId="41EC61E9" w14:textId="5A6DCF93" w:rsidR="00FE16A4" w:rsidRPr="00653C66" w:rsidRDefault="00001838" w:rsidP="008C3127">
      <w:pPr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L</w:t>
      </w:r>
      <w:r w:rsidR="00FE16A4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o spirito del decreto </w:t>
      </w:r>
      <w:r w:rsidR="004B3EB3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>deve essere quello di</w:t>
      </w:r>
      <w:r w:rsidR="00FE16A4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accelerare e agevolare gli interventi di efficienza energetica</w:t>
      </w:r>
      <w:r w:rsidR="007F7A9C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FE16A4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4B3EB3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per </w:t>
      </w:r>
      <w:r w:rsidR="007F7A9C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>cui</w:t>
      </w:r>
      <w:r w:rsidR="004B3EB3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si ritiene p</w:t>
      </w:r>
      <w:r w:rsidR="00FE16A4" w:rsidRPr="00653C66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iù opportuno innalzare al massimo la percentuale di copertura. </w:t>
      </w:r>
    </w:p>
    <w:p w14:paraId="08B299D9" w14:textId="1EC1B352" w:rsidR="004B3EB3" w:rsidRDefault="008C3127" w:rsidP="008C3127">
      <w:pPr>
        <w:ind w:left="709" w:hanging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C.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ab/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>Nell’art.</w:t>
      </w:r>
      <w:r w:rsidR="004D5FF4" w:rsidRPr="004D5FF4">
        <w:rPr>
          <w:rStyle w:val="Enfasigrassetto"/>
          <w:rFonts w:ascii="Bookman Old Style" w:hAnsi="Bookman Old Style" w:cs="Helvetica"/>
          <w:b w:val="0"/>
          <w:sz w:val="24"/>
          <w:szCs w:val="24"/>
        </w:rPr>
        <w:t>14</w:t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4D5FF4" w:rsidRPr="004D5FF4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</w:t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>.</w:t>
      </w:r>
      <w:r w:rsidR="004D5FF4" w:rsidRPr="004D5FF4">
        <w:rPr>
          <w:rStyle w:val="Enfasigrassetto"/>
          <w:rFonts w:ascii="Bookman Old Style" w:hAnsi="Bookman Old Style" w:cs="Helvetica"/>
          <w:b w:val="0"/>
          <w:sz w:val="24"/>
          <w:szCs w:val="24"/>
        </w:rPr>
        <w:t>1</w:t>
      </w:r>
      <w:r w:rsidR="00466713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, </w:t>
      </w:r>
      <w:r w:rsidR="007F7A9C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si chiede di </w:t>
      </w:r>
      <w:r w:rsidR="00466713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sostituire </w:t>
      </w:r>
      <w:r w:rsidR="004B3EB3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le parole </w:t>
      </w:r>
      <w:r w:rsidR="00466713" w:rsidRPr="007F7A9C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</w:t>
      </w:r>
      <w:r w:rsidR="004B3EB3" w:rsidRPr="007F7A9C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sono concessi da un minimo di euro 150.000 (centocinquantamila)</w:t>
      </w:r>
      <w:r w:rsidR="00466713" w:rsidRPr="007F7A9C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”</w:t>
      </w:r>
      <w:r w:rsidR="00466713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con la seguente frase </w:t>
      </w:r>
      <w:r w:rsidR="00466713" w:rsidRPr="007F7A9C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</w:t>
      </w:r>
      <w:r w:rsidR="004B3EB3" w:rsidRPr="007F7A9C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sono concessi da un minimo di euro 100.000 (centomila)</w:t>
      </w:r>
      <w:r w:rsidR="00466713" w:rsidRPr="007F7A9C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”</w:t>
      </w:r>
      <w:r w:rsid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, </w:t>
      </w:r>
      <w:r w:rsidR="000F3E77" w:rsidRP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nonché di sopprimere </w:t>
      </w:r>
      <w:r w:rsid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>la</w:t>
      </w:r>
      <w:r w:rsidR="000F3E77" w:rsidRP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lett.a)</w:t>
      </w:r>
      <w:r w:rsid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del medesimo comma</w:t>
      </w:r>
      <w:r w:rsidR="004B3EB3" w:rsidRP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>.</w:t>
      </w:r>
    </w:p>
    <w:p w14:paraId="393FCFDE" w14:textId="77777777" w:rsidR="00001838" w:rsidRPr="00001838" w:rsidRDefault="008C3127" w:rsidP="00001838">
      <w:pPr>
        <w:spacing w:after="40"/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  <w:u w:val="single"/>
        </w:rPr>
        <w:t>Motivazione</w:t>
      </w:r>
    </w:p>
    <w:p w14:paraId="6A8AB043" w14:textId="50279DC6" w:rsidR="008C3127" w:rsidRPr="00001838" w:rsidRDefault="00001838" w:rsidP="008C3127">
      <w:pPr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lastRenderedPageBreak/>
        <w:t>L</w:t>
      </w:r>
      <w:r w:rsidR="008C312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a </w:t>
      </w:r>
      <w:r w:rsidR="00653C66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riduzione della </w:t>
      </w:r>
      <w:r w:rsidR="008C312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somma </w:t>
      </w:r>
      <w:r w:rsidR="00653C66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minima, oltre ad</w:t>
      </w:r>
      <w:r w:rsidR="008C312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appar</w:t>
      </w:r>
      <w:r w:rsidR="00653C66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ir</w:t>
      </w:r>
      <w:r w:rsidR="008C312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e </w:t>
      </w:r>
      <w:r w:rsidR="00653C66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meglio commisurata alla gran parte degli interventi di efficientamento delle centrali termiche,</w:t>
      </w:r>
      <w:r w:rsidR="008C312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653C66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consente l’assegnazione di più contributi, a fronte del</w:t>
      </w:r>
      <w:r w:rsidR="008C312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l’esiguità </w:t>
      </w:r>
      <w:r w:rsidR="00653C66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iniziale del fondo.</w:t>
      </w:r>
    </w:p>
    <w:p w14:paraId="20909B21" w14:textId="77777777" w:rsidR="00653C66" w:rsidRDefault="00653C66" w:rsidP="00653C66">
      <w:pPr>
        <w:ind w:left="709" w:hanging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D.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ab/>
      </w:r>
      <w:r w:rsid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>All’art.</w:t>
      </w:r>
      <w:r w:rsidR="00466713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14 </w:t>
      </w:r>
      <w:r w:rsidR="000F3E77">
        <w:rPr>
          <w:rStyle w:val="Enfasigrassetto"/>
          <w:rFonts w:ascii="Bookman Old Style" w:hAnsi="Bookman Old Style" w:cs="Helvetica"/>
          <w:b w:val="0"/>
          <w:sz w:val="24"/>
          <w:szCs w:val="24"/>
        </w:rPr>
        <w:t>si propone di aggiungere il seguente comma:</w:t>
      </w:r>
    </w:p>
    <w:p w14:paraId="0A1809C2" w14:textId="669C04DF" w:rsidR="00466713" w:rsidRDefault="00466713" w:rsidP="00653C66">
      <w:pPr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 w:rsidRP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</w:t>
      </w:r>
      <w:r w:rsidR="000F3E77" w:rsidRP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2. L</w:t>
      </w:r>
      <w:r w:rsidR="005B7243" w:rsidRP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a soglia minima dei </w:t>
      </w:r>
      <w:r w:rsidR="00682EB7" w:rsidRP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finanziamenti agevolabili di cui all’art. 8 è ri</w:t>
      </w:r>
      <w:r w:rsid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dotta a</w:t>
      </w:r>
      <w:r w:rsidR="00682EB7" w:rsidRP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 euro 50.000</w:t>
      </w:r>
      <w:r w:rsidR="007125AF" w:rsidRPr="000F3E77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, limitatamente alla copertura di interventi di diagnosi energetica sul patrimonio edilizio o di analisi di consistenza sull’infrastruttura pubblica”.</w:t>
      </w:r>
      <w:r w:rsidR="007125AF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</w:p>
    <w:p w14:paraId="758400E1" w14:textId="2564FD99" w:rsidR="00001838" w:rsidRPr="00001838" w:rsidRDefault="007125AF" w:rsidP="00001838">
      <w:pPr>
        <w:spacing w:after="40"/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  <w:u w:val="single"/>
        </w:rPr>
        <w:t>Motivazione</w:t>
      </w:r>
    </w:p>
    <w:p w14:paraId="7C534C5C" w14:textId="1CB863FA" w:rsidR="007125AF" w:rsidRPr="00001838" w:rsidRDefault="00001838" w:rsidP="00001838">
      <w:pPr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U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na delle cause di mancato utilizzo del conto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termico coincide con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l’assenza 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di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diagnosi energetica, obbligatoria per l’accesso allo strumento, 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per cui si ritiene 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ne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cessario prevedere un raccordo f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ra i meccanismi, con la copertura 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della corrispondente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s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pesa, che ha contenuto valore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. La diagnosi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, peraltro, effettuata per 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ottenere la pre</w:t>
      </w:r>
      <w:r w:rsidR="00ED5FE5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valutazione della performance al fine di individuare le opere più utili,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ED5FE5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riguarderebbe</w:t>
      </w:r>
      <w:r w:rsidR="000F3E77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una po</w:t>
      </w:r>
      <w:r w:rsidR="00ED5FE5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rzione più vasta di patrimonio o, almeno, un intero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ED5FE5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plesso,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ED5FE5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>rispetto al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singolo edificio</w:t>
      </w:r>
      <w:r w:rsidR="00ED5FE5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destinatario dell’intervento</w:t>
      </w:r>
      <w:r w:rsidR="007125AF"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. </w:t>
      </w:r>
    </w:p>
    <w:p w14:paraId="61064640" w14:textId="77777777" w:rsidR="00001838" w:rsidRDefault="00001838" w:rsidP="00FE16A4">
      <w:pPr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E.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ab/>
        <w:t>All’Art.</w:t>
      </w:r>
      <w:r w:rsidR="009432B5">
        <w:rPr>
          <w:rStyle w:val="Enfasigrassetto"/>
          <w:rFonts w:ascii="Bookman Old Style" w:hAnsi="Bookman Old Style" w:cs="Helvetica"/>
          <w:b w:val="0"/>
          <w:sz w:val="24"/>
          <w:szCs w:val="24"/>
        </w:rPr>
        <w:t>18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,</w:t>
      </w:r>
      <w:r w:rsidR="009432B5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D24E62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dopo il 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co.</w:t>
      </w:r>
      <w:r w:rsidR="00D24E62">
        <w:rPr>
          <w:rStyle w:val="Enfasigrassetto"/>
          <w:rFonts w:ascii="Bookman Old Style" w:hAnsi="Bookman Old Style" w:cs="Helvetica"/>
          <w:b w:val="0"/>
          <w:sz w:val="24"/>
          <w:szCs w:val="24"/>
        </w:rPr>
        <w:t>5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, si chiede di</w:t>
      </w:r>
      <w:r w:rsidR="009432B5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aggiungere </w:t>
      </w:r>
      <w:r w:rsidR="00D24E62">
        <w:rPr>
          <w:rStyle w:val="Enfasigrassetto"/>
          <w:rFonts w:ascii="Bookman Old Style" w:hAnsi="Bookman Old Style" w:cs="Helvetica"/>
          <w:b w:val="0"/>
          <w:sz w:val="24"/>
          <w:szCs w:val="24"/>
        </w:rPr>
        <w:t>il seguente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comma:</w:t>
      </w:r>
    </w:p>
    <w:p w14:paraId="3011D509" w14:textId="3AD47D26" w:rsidR="00AE6C66" w:rsidRPr="00001838" w:rsidRDefault="009432B5" w:rsidP="00001838">
      <w:pPr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</w:t>
      </w:r>
      <w:r w:rsid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6. </w:t>
      </w:r>
      <w:r w:rsidR="00001838"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Alle riunioni della cabina di regia</w:t>
      </w:r>
      <w:r w:rsidR="00D24E62"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 p</w:t>
      </w: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ossono inoltre partecipare i rappresentanti di ANCI</w:t>
      </w:r>
      <w:r w:rsidR="00001838"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,</w:t>
      </w: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 UPI e Regioni, </w:t>
      </w:r>
      <w:r w:rsidR="00001838"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specie </w:t>
      </w: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se l’istruttoria ha riguardato progetti inerenti gli enti locali dove sia necessaria un’</w:t>
      </w:r>
      <w:r w:rsidR="00001838"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ulteriore </w:t>
      </w: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azione di stimolo e sensibilizzazione”. </w:t>
      </w:r>
    </w:p>
    <w:p w14:paraId="270A870D" w14:textId="442A49FB" w:rsidR="00001838" w:rsidRPr="00001838" w:rsidRDefault="00001838" w:rsidP="00001838">
      <w:pPr>
        <w:spacing w:after="40"/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  <w:u w:val="single"/>
        </w:rPr>
        <w:t>Motivazione</w:t>
      </w:r>
    </w:p>
    <w:p w14:paraId="59EBBFCF" w14:textId="3C3F6BFA" w:rsidR="00001838" w:rsidRPr="00001838" w:rsidRDefault="00001838" w:rsidP="00001838">
      <w:pPr>
        <w:ind w:left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La partecipazione dei soggetti rappresentanti delle Regioni e degli Enti locali appare indispensabile nella fase attuativa</w:t>
      </w:r>
      <w:r w:rsidRPr="00001838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. </w:t>
      </w:r>
    </w:p>
    <w:p w14:paraId="76158C2F" w14:textId="77777777" w:rsidR="00001838" w:rsidRDefault="00001838" w:rsidP="00001838">
      <w:pPr>
        <w:ind w:left="709" w:hanging="709"/>
        <w:jc w:val="both"/>
        <w:rPr>
          <w:rStyle w:val="Enfasigrassetto"/>
          <w:rFonts w:ascii="Bookman Old Style" w:hAnsi="Bookman Old Style" w:cs="Helvetica"/>
          <w:b w:val="0"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F.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ab/>
      </w:r>
      <w:r w:rsidR="009432B5">
        <w:rPr>
          <w:rStyle w:val="Enfasigrassetto"/>
          <w:rFonts w:ascii="Bookman Old Style" w:hAnsi="Bookman Old Style" w:cs="Helvetica"/>
          <w:b w:val="0"/>
          <w:sz w:val="24"/>
          <w:szCs w:val="24"/>
        </w:rPr>
        <w:t>A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ll’art.</w:t>
      </w:r>
      <w:r w:rsidR="00E17DDC">
        <w:rPr>
          <w:rStyle w:val="Enfasigrassetto"/>
          <w:rFonts w:ascii="Bookman Old Style" w:hAnsi="Bookman Old Style" w:cs="Helvetica"/>
          <w:b w:val="0"/>
          <w:sz w:val="24"/>
          <w:szCs w:val="24"/>
        </w:rPr>
        <w:t>20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, co.</w:t>
      </w:r>
      <w:r w:rsidR="00E17DDC"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2, 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si propone di </w:t>
      </w:r>
      <w:r w:rsidR="00E17DDC">
        <w:rPr>
          <w:rStyle w:val="Enfasigrassetto"/>
          <w:rFonts w:ascii="Bookman Old Style" w:hAnsi="Bookman Old Style" w:cs="Helvetica"/>
          <w:b w:val="0"/>
          <w:sz w:val="24"/>
          <w:szCs w:val="24"/>
        </w:rPr>
        <w:t>aggiungere il seguente paragrafo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:</w:t>
      </w:r>
    </w:p>
    <w:p w14:paraId="5B3DDCF6" w14:textId="54F815E2" w:rsidR="009432B5" w:rsidRPr="00001838" w:rsidRDefault="00E17DDC" w:rsidP="00001838">
      <w:pPr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“Per i benefi</w:t>
      </w:r>
      <w:r w:rsid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ciari di cui all’art.</w:t>
      </w: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11,</w:t>
      </w:r>
      <w:r w:rsid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 la conclusione degli interventi s’</w:t>
      </w: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 xml:space="preserve">intende </w:t>
      </w:r>
      <w:r w:rsid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  <w:t>raggiunta in corrispondenza alla dichiarazione di fine lavori da parte del direttore dei lavori”.</w:t>
      </w:r>
    </w:p>
    <w:p w14:paraId="79002AA6" w14:textId="77777777" w:rsidR="00001838" w:rsidRPr="00001838" w:rsidRDefault="00E17DDC" w:rsidP="00001838">
      <w:pPr>
        <w:spacing w:after="40"/>
        <w:ind w:left="709"/>
        <w:jc w:val="both"/>
        <w:rPr>
          <w:rStyle w:val="Enfasigrassetto"/>
          <w:rFonts w:ascii="Bookman Old Style" w:hAnsi="Bookman Old Style" w:cs="Helvetica"/>
          <w:b w:val="0"/>
          <w:i/>
          <w:sz w:val="24"/>
          <w:szCs w:val="24"/>
        </w:rPr>
      </w:pPr>
      <w:r w:rsidRPr="00001838">
        <w:rPr>
          <w:rStyle w:val="Enfasigrassetto"/>
          <w:rFonts w:ascii="Bookman Old Style" w:hAnsi="Bookman Old Style" w:cs="Helvetica"/>
          <w:b w:val="0"/>
          <w:i/>
          <w:sz w:val="24"/>
          <w:szCs w:val="24"/>
          <w:u w:val="single"/>
        </w:rPr>
        <w:t>Motivazione</w:t>
      </w:r>
    </w:p>
    <w:p w14:paraId="68CDDC2B" w14:textId="7A32BF9C" w:rsidR="00EF1C1F" w:rsidRPr="00231096" w:rsidRDefault="00001838" w:rsidP="00231096">
      <w:pPr>
        <w:ind w:left="709"/>
        <w:jc w:val="both"/>
        <w:rPr>
          <w:rFonts w:ascii="Bookman Old Style" w:hAnsi="Bookman Old Style" w:cs="Helvetica"/>
          <w:bCs/>
          <w:sz w:val="24"/>
          <w:szCs w:val="24"/>
        </w:rPr>
      </w:pP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>I</w:t>
      </w:r>
      <w:r w:rsidR="0040177E">
        <w:rPr>
          <w:rStyle w:val="Enfasigrassetto"/>
          <w:rFonts w:ascii="Bookman Old Style" w:hAnsi="Bookman Old Style" w:cs="Helvetica"/>
          <w:b w:val="0"/>
          <w:sz w:val="24"/>
          <w:szCs w:val="24"/>
        </w:rPr>
        <w:t>n tal modo, per accertare la regolarità del programma di attuazione, si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40177E">
        <w:rPr>
          <w:rStyle w:val="Enfasigrassetto"/>
          <w:rFonts w:ascii="Bookman Old Style" w:hAnsi="Bookman Old Style" w:cs="Helvetica"/>
          <w:b w:val="0"/>
          <w:sz w:val="24"/>
          <w:szCs w:val="24"/>
        </w:rPr>
        <w:t>farà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riferimento alla materiale esecuzione </w:t>
      </w:r>
      <w:r w:rsidR="0040177E">
        <w:rPr>
          <w:rStyle w:val="Enfasigrassetto"/>
          <w:rFonts w:ascii="Bookman Old Style" w:hAnsi="Bookman Old Style" w:cs="Helvetica"/>
          <w:b w:val="0"/>
          <w:sz w:val="24"/>
          <w:szCs w:val="24"/>
        </w:rPr>
        <w:t>dei lavori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, </w:t>
      </w:r>
      <w:r w:rsidR="0040177E">
        <w:rPr>
          <w:rStyle w:val="Enfasigrassetto"/>
          <w:rFonts w:ascii="Bookman Old Style" w:hAnsi="Bookman Old Style" w:cs="Helvetica"/>
          <w:b w:val="0"/>
          <w:sz w:val="24"/>
          <w:szCs w:val="24"/>
        </w:rPr>
        <w:t>vista l’inopportunità di affrettare le attività conclusive di</w:t>
      </w:r>
      <w:r>
        <w:rPr>
          <w:rStyle w:val="Enfasigrassetto"/>
          <w:rFonts w:ascii="Bookman Old Style" w:hAnsi="Bookman Old Style" w:cs="Helvetica"/>
          <w:b w:val="0"/>
          <w:sz w:val="24"/>
          <w:szCs w:val="24"/>
        </w:rPr>
        <w:t xml:space="preserve"> </w:t>
      </w:r>
      <w:r w:rsidR="0040177E">
        <w:rPr>
          <w:rStyle w:val="Enfasigrassetto"/>
          <w:rFonts w:ascii="Bookman Old Style" w:hAnsi="Bookman Old Style" w:cs="Helvetica"/>
          <w:b w:val="0"/>
          <w:sz w:val="24"/>
          <w:szCs w:val="24"/>
        </w:rPr>
        <w:t>collaudazione delle opere, da cui dipenderà, invece, la corresponsione della rata di saldo.</w:t>
      </w:r>
    </w:p>
    <w:sectPr w:rsidR="00EF1C1F" w:rsidRPr="00231096" w:rsidSect="006C755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082E" w14:textId="77777777" w:rsidR="00001838" w:rsidRDefault="00001838" w:rsidP="00CC44CA">
      <w:pPr>
        <w:spacing w:after="0" w:line="240" w:lineRule="auto"/>
      </w:pPr>
      <w:r>
        <w:separator/>
      </w:r>
    </w:p>
  </w:endnote>
  <w:endnote w:type="continuationSeparator" w:id="0">
    <w:p w14:paraId="7D86569E" w14:textId="77777777" w:rsidR="00001838" w:rsidRDefault="00001838" w:rsidP="00CC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D0CE" w14:textId="7CCE6659" w:rsidR="00001838" w:rsidRDefault="0000183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1D5">
      <w:rPr>
        <w:noProof/>
      </w:rPr>
      <w:t>2</w:t>
    </w:r>
    <w:r>
      <w:rPr>
        <w:noProof/>
      </w:rPr>
      <w:fldChar w:fldCharType="end"/>
    </w:r>
  </w:p>
  <w:p w14:paraId="13CF2FCD" w14:textId="77777777" w:rsidR="00001838" w:rsidRDefault="00001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07BE" w14:textId="77777777" w:rsidR="00001838" w:rsidRDefault="00001838" w:rsidP="00CC44CA">
      <w:pPr>
        <w:spacing w:after="0" w:line="240" w:lineRule="auto"/>
      </w:pPr>
      <w:r>
        <w:separator/>
      </w:r>
    </w:p>
  </w:footnote>
  <w:footnote w:type="continuationSeparator" w:id="0">
    <w:p w14:paraId="38C000DD" w14:textId="77777777" w:rsidR="00001838" w:rsidRDefault="00001838" w:rsidP="00CC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E0A"/>
    <w:multiLevelType w:val="hybridMultilevel"/>
    <w:tmpl w:val="3B7EA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492"/>
    <w:multiLevelType w:val="hybridMultilevel"/>
    <w:tmpl w:val="AEE8A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1CC"/>
    <w:multiLevelType w:val="hybridMultilevel"/>
    <w:tmpl w:val="80B04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193F"/>
    <w:multiLevelType w:val="hybridMultilevel"/>
    <w:tmpl w:val="79DA4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2DD3"/>
    <w:multiLevelType w:val="hybridMultilevel"/>
    <w:tmpl w:val="8616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4A54"/>
    <w:multiLevelType w:val="hybridMultilevel"/>
    <w:tmpl w:val="B764EDF4"/>
    <w:lvl w:ilvl="0" w:tplc="A232FD4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117D"/>
    <w:multiLevelType w:val="hybridMultilevel"/>
    <w:tmpl w:val="3EFE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3479"/>
    <w:multiLevelType w:val="hybridMultilevel"/>
    <w:tmpl w:val="2ADA40C6"/>
    <w:lvl w:ilvl="0" w:tplc="4BFA0376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0846"/>
    <w:multiLevelType w:val="hybridMultilevel"/>
    <w:tmpl w:val="49D62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2C80"/>
    <w:multiLevelType w:val="hybridMultilevel"/>
    <w:tmpl w:val="8D047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434"/>
    <w:multiLevelType w:val="hybridMultilevel"/>
    <w:tmpl w:val="CADE3AAE"/>
    <w:lvl w:ilvl="0" w:tplc="E2E4F12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3F79"/>
    <w:multiLevelType w:val="hybridMultilevel"/>
    <w:tmpl w:val="8DB858F8"/>
    <w:lvl w:ilvl="0" w:tplc="07D6D6A8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A53DB"/>
    <w:multiLevelType w:val="hybridMultilevel"/>
    <w:tmpl w:val="ABDA4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856"/>
    <w:multiLevelType w:val="hybridMultilevel"/>
    <w:tmpl w:val="5E600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0D"/>
    <w:rsid w:val="000009BD"/>
    <w:rsid w:val="00001838"/>
    <w:rsid w:val="000076AA"/>
    <w:rsid w:val="00014B21"/>
    <w:rsid w:val="000232E4"/>
    <w:rsid w:val="0002540F"/>
    <w:rsid w:val="00034988"/>
    <w:rsid w:val="000400E6"/>
    <w:rsid w:val="0004063C"/>
    <w:rsid w:val="00053BB8"/>
    <w:rsid w:val="000545AF"/>
    <w:rsid w:val="000623F2"/>
    <w:rsid w:val="00067B41"/>
    <w:rsid w:val="0007024D"/>
    <w:rsid w:val="0007366A"/>
    <w:rsid w:val="000861D9"/>
    <w:rsid w:val="00087A72"/>
    <w:rsid w:val="00091FBD"/>
    <w:rsid w:val="000A0488"/>
    <w:rsid w:val="000A34FA"/>
    <w:rsid w:val="000A68FC"/>
    <w:rsid w:val="000C188D"/>
    <w:rsid w:val="000C6673"/>
    <w:rsid w:val="000C6750"/>
    <w:rsid w:val="000C7ABC"/>
    <w:rsid w:val="000C7D7A"/>
    <w:rsid w:val="000D4170"/>
    <w:rsid w:val="000D63AF"/>
    <w:rsid w:val="000F3E77"/>
    <w:rsid w:val="001022B1"/>
    <w:rsid w:val="001041B2"/>
    <w:rsid w:val="00113016"/>
    <w:rsid w:val="00116251"/>
    <w:rsid w:val="00123A1D"/>
    <w:rsid w:val="00136354"/>
    <w:rsid w:val="001535A6"/>
    <w:rsid w:val="00165327"/>
    <w:rsid w:val="00167A91"/>
    <w:rsid w:val="00177E0C"/>
    <w:rsid w:val="001979BE"/>
    <w:rsid w:val="001A5771"/>
    <w:rsid w:val="001B36C2"/>
    <w:rsid w:val="001B6774"/>
    <w:rsid w:val="001C7BF4"/>
    <w:rsid w:val="001D64E1"/>
    <w:rsid w:val="001D74E7"/>
    <w:rsid w:val="001E040D"/>
    <w:rsid w:val="001E3CB4"/>
    <w:rsid w:val="00223C20"/>
    <w:rsid w:val="00224481"/>
    <w:rsid w:val="00230E96"/>
    <w:rsid w:val="00231096"/>
    <w:rsid w:val="002346E6"/>
    <w:rsid w:val="00240942"/>
    <w:rsid w:val="00240E83"/>
    <w:rsid w:val="00242684"/>
    <w:rsid w:val="0025481E"/>
    <w:rsid w:val="00255653"/>
    <w:rsid w:val="002617AC"/>
    <w:rsid w:val="00272C8D"/>
    <w:rsid w:val="00275924"/>
    <w:rsid w:val="00282777"/>
    <w:rsid w:val="00294F3A"/>
    <w:rsid w:val="002A01C1"/>
    <w:rsid w:val="002A12B6"/>
    <w:rsid w:val="002A3E42"/>
    <w:rsid w:val="002A51E2"/>
    <w:rsid w:val="002B1A63"/>
    <w:rsid w:val="002C34E9"/>
    <w:rsid w:val="002D0DD6"/>
    <w:rsid w:val="002D3641"/>
    <w:rsid w:val="002D5F91"/>
    <w:rsid w:val="002F69B2"/>
    <w:rsid w:val="003026AD"/>
    <w:rsid w:val="00315B1F"/>
    <w:rsid w:val="00320199"/>
    <w:rsid w:val="003609F6"/>
    <w:rsid w:val="00367EA7"/>
    <w:rsid w:val="003811E3"/>
    <w:rsid w:val="003A26AE"/>
    <w:rsid w:val="003A3281"/>
    <w:rsid w:val="003B2465"/>
    <w:rsid w:val="003B7511"/>
    <w:rsid w:val="003D0141"/>
    <w:rsid w:val="003D5066"/>
    <w:rsid w:val="003F117D"/>
    <w:rsid w:val="0040177E"/>
    <w:rsid w:val="00415078"/>
    <w:rsid w:val="00432865"/>
    <w:rsid w:val="004373D6"/>
    <w:rsid w:val="00447BC8"/>
    <w:rsid w:val="00455A0E"/>
    <w:rsid w:val="00456469"/>
    <w:rsid w:val="00457886"/>
    <w:rsid w:val="00466713"/>
    <w:rsid w:val="0046767A"/>
    <w:rsid w:val="00485B3F"/>
    <w:rsid w:val="00491007"/>
    <w:rsid w:val="004974CA"/>
    <w:rsid w:val="004976F1"/>
    <w:rsid w:val="004A360F"/>
    <w:rsid w:val="004A4716"/>
    <w:rsid w:val="004A69FC"/>
    <w:rsid w:val="004B3263"/>
    <w:rsid w:val="004B3EB3"/>
    <w:rsid w:val="004B44B8"/>
    <w:rsid w:val="004B5929"/>
    <w:rsid w:val="004B6426"/>
    <w:rsid w:val="004C2CCC"/>
    <w:rsid w:val="004C6200"/>
    <w:rsid w:val="004D5FF4"/>
    <w:rsid w:val="004F1B0C"/>
    <w:rsid w:val="00510DEE"/>
    <w:rsid w:val="005213E7"/>
    <w:rsid w:val="00533572"/>
    <w:rsid w:val="005357DC"/>
    <w:rsid w:val="00535939"/>
    <w:rsid w:val="00583F07"/>
    <w:rsid w:val="00591961"/>
    <w:rsid w:val="005A0C35"/>
    <w:rsid w:val="005A57A2"/>
    <w:rsid w:val="005A630B"/>
    <w:rsid w:val="005B1796"/>
    <w:rsid w:val="005B7243"/>
    <w:rsid w:val="005C1078"/>
    <w:rsid w:val="005D4302"/>
    <w:rsid w:val="005D4B3E"/>
    <w:rsid w:val="005E4772"/>
    <w:rsid w:val="005E5F9A"/>
    <w:rsid w:val="005E6179"/>
    <w:rsid w:val="005E7C18"/>
    <w:rsid w:val="005F2C00"/>
    <w:rsid w:val="00602B81"/>
    <w:rsid w:val="00612D29"/>
    <w:rsid w:val="00620857"/>
    <w:rsid w:val="006306BB"/>
    <w:rsid w:val="0063366F"/>
    <w:rsid w:val="006450A9"/>
    <w:rsid w:val="006532A0"/>
    <w:rsid w:val="00653C66"/>
    <w:rsid w:val="0066146A"/>
    <w:rsid w:val="00682EB7"/>
    <w:rsid w:val="00683656"/>
    <w:rsid w:val="0068615F"/>
    <w:rsid w:val="006A42C3"/>
    <w:rsid w:val="006C0EE4"/>
    <w:rsid w:val="006C18BF"/>
    <w:rsid w:val="006C755E"/>
    <w:rsid w:val="006D2737"/>
    <w:rsid w:val="006E7C40"/>
    <w:rsid w:val="007017EA"/>
    <w:rsid w:val="007036AB"/>
    <w:rsid w:val="007052BF"/>
    <w:rsid w:val="00705D9B"/>
    <w:rsid w:val="007125AF"/>
    <w:rsid w:val="007218C6"/>
    <w:rsid w:val="0072501A"/>
    <w:rsid w:val="00732970"/>
    <w:rsid w:val="007333AA"/>
    <w:rsid w:val="00753714"/>
    <w:rsid w:val="00754C0B"/>
    <w:rsid w:val="00787B15"/>
    <w:rsid w:val="0079441B"/>
    <w:rsid w:val="00796A31"/>
    <w:rsid w:val="007A29C0"/>
    <w:rsid w:val="007B2C55"/>
    <w:rsid w:val="007B6132"/>
    <w:rsid w:val="007B62E2"/>
    <w:rsid w:val="007C7209"/>
    <w:rsid w:val="007D0662"/>
    <w:rsid w:val="007D60EF"/>
    <w:rsid w:val="007E1AD5"/>
    <w:rsid w:val="007F3AFB"/>
    <w:rsid w:val="007F4B82"/>
    <w:rsid w:val="007F4DD9"/>
    <w:rsid w:val="007F7A9C"/>
    <w:rsid w:val="00800684"/>
    <w:rsid w:val="008019F9"/>
    <w:rsid w:val="00806343"/>
    <w:rsid w:val="0081339B"/>
    <w:rsid w:val="00825AF5"/>
    <w:rsid w:val="00830129"/>
    <w:rsid w:val="008307FD"/>
    <w:rsid w:val="0083469E"/>
    <w:rsid w:val="008357DE"/>
    <w:rsid w:val="008461AF"/>
    <w:rsid w:val="008522BA"/>
    <w:rsid w:val="00852551"/>
    <w:rsid w:val="00873074"/>
    <w:rsid w:val="008767C6"/>
    <w:rsid w:val="00881CA0"/>
    <w:rsid w:val="00882EF4"/>
    <w:rsid w:val="008B07DD"/>
    <w:rsid w:val="008B6408"/>
    <w:rsid w:val="008C3127"/>
    <w:rsid w:val="008C4C82"/>
    <w:rsid w:val="008D06F2"/>
    <w:rsid w:val="008E1080"/>
    <w:rsid w:val="008E74DB"/>
    <w:rsid w:val="008E78EC"/>
    <w:rsid w:val="00904882"/>
    <w:rsid w:val="009074F1"/>
    <w:rsid w:val="009118BC"/>
    <w:rsid w:val="00913393"/>
    <w:rsid w:val="009141DC"/>
    <w:rsid w:val="00915634"/>
    <w:rsid w:val="00923305"/>
    <w:rsid w:val="009432B5"/>
    <w:rsid w:val="00961466"/>
    <w:rsid w:val="009627C7"/>
    <w:rsid w:val="0097442C"/>
    <w:rsid w:val="00983268"/>
    <w:rsid w:val="00997AA3"/>
    <w:rsid w:val="009B4766"/>
    <w:rsid w:val="009C1A80"/>
    <w:rsid w:val="009D0B8D"/>
    <w:rsid w:val="009E17CC"/>
    <w:rsid w:val="009E1AA1"/>
    <w:rsid w:val="009F5C5E"/>
    <w:rsid w:val="00A00319"/>
    <w:rsid w:val="00A1532A"/>
    <w:rsid w:val="00A16054"/>
    <w:rsid w:val="00A24668"/>
    <w:rsid w:val="00A408B0"/>
    <w:rsid w:val="00A42304"/>
    <w:rsid w:val="00A953D5"/>
    <w:rsid w:val="00A95B1B"/>
    <w:rsid w:val="00A97E78"/>
    <w:rsid w:val="00AA2CAF"/>
    <w:rsid w:val="00AA3219"/>
    <w:rsid w:val="00AB45F3"/>
    <w:rsid w:val="00AB7BE6"/>
    <w:rsid w:val="00AC25F7"/>
    <w:rsid w:val="00AC4F11"/>
    <w:rsid w:val="00AD5E8F"/>
    <w:rsid w:val="00AE01D5"/>
    <w:rsid w:val="00AE6C66"/>
    <w:rsid w:val="00AF066A"/>
    <w:rsid w:val="00B0683C"/>
    <w:rsid w:val="00B11F24"/>
    <w:rsid w:val="00B205C5"/>
    <w:rsid w:val="00B26465"/>
    <w:rsid w:val="00B325FD"/>
    <w:rsid w:val="00B34C29"/>
    <w:rsid w:val="00B41D7D"/>
    <w:rsid w:val="00B423C9"/>
    <w:rsid w:val="00B54AC8"/>
    <w:rsid w:val="00B54C0D"/>
    <w:rsid w:val="00B6006E"/>
    <w:rsid w:val="00B743F6"/>
    <w:rsid w:val="00B97990"/>
    <w:rsid w:val="00BB609C"/>
    <w:rsid w:val="00BD52EF"/>
    <w:rsid w:val="00BE3198"/>
    <w:rsid w:val="00BE3CAB"/>
    <w:rsid w:val="00BF069D"/>
    <w:rsid w:val="00BF18D1"/>
    <w:rsid w:val="00BF325C"/>
    <w:rsid w:val="00C02990"/>
    <w:rsid w:val="00C1429E"/>
    <w:rsid w:val="00C22B13"/>
    <w:rsid w:val="00C417A7"/>
    <w:rsid w:val="00C435C1"/>
    <w:rsid w:val="00C603D9"/>
    <w:rsid w:val="00C84DF0"/>
    <w:rsid w:val="00CA218C"/>
    <w:rsid w:val="00CA7602"/>
    <w:rsid w:val="00CB1316"/>
    <w:rsid w:val="00CB3E39"/>
    <w:rsid w:val="00CC44CA"/>
    <w:rsid w:val="00CD5A45"/>
    <w:rsid w:val="00CE321A"/>
    <w:rsid w:val="00CE5182"/>
    <w:rsid w:val="00CF7AC8"/>
    <w:rsid w:val="00CF7CAD"/>
    <w:rsid w:val="00D10A4B"/>
    <w:rsid w:val="00D1346B"/>
    <w:rsid w:val="00D13E52"/>
    <w:rsid w:val="00D15FA4"/>
    <w:rsid w:val="00D16506"/>
    <w:rsid w:val="00D24E62"/>
    <w:rsid w:val="00D401D3"/>
    <w:rsid w:val="00D44C57"/>
    <w:rsid w:val="00D52137"/>
    <w:rsid w:val="00D55F5F"/>
    <w:rsid w:val="00D560B4"/>
    <w:rsid w:val="00D6426B"/>
    <w:rsid w:val="00D64794"/>
    <w:rsid w:val="00D7751B"/>
    <w:rsid w:val="00DA0208"/>
    <w:rsid w:val="00DA3F73"/>
    <w:rsid w:val="00DA4797"/>
    <w:rsid w:val="00DC05EF"/>
    <w:rsid w:val="00DC3838"/>
    <w:rsid w:val="00DC3D6C"/>
    <w:rsid w:val="00DC4931"/>
    <w:rsid w:val="00DC5B5F"/>
    <w:rsid w:val="00DD452B"/>
    <w:rsid w:val="00DF2895"/>
    <w:rsid w:val="00DF5EC3"/>
    <w:rsid w:val="00DF67DF"/>
    <w:rsid w:val="00DF6BD6"/>
    <w:rsid w:val="00E00925"/>
    <w:rsid w:val="00E16740"/>
    <w:rsid w:val="00E17DDC"/>
    <w:rsid w:val="00E23C53"/>
    <w:rsid w:val="00E350FE"/>
    <w:rsid w:val="00E47835"/>
    <w:rsid w:val="00E51E2E"/>
    <w:rsid w:val="00E568E5"/>
    <w:rsid w:val="00E96152"/>
    <w:rsid w:val="00E97696"/>
    <w:rsid w:val="00EA036A"/>
    <w:rsid w:val="00EA04F0"/>
    <w:rsid w:val="00EA11EE"/>
    <w:rsid w:val="00EA1E47"/>
    <w:rsid w:val="00EA659F"/>
    <w:rsid w:val="00EC0607"/>
    <w:rsid w:val="00EC0728"/>
    <w:rsid w:val="00ED5FE5"/>
    <w:rsid w:val="00EE0032"/>
    <w:rsid w:val="00EF077D"/>
    <w:rsid w:val="00EF16B9"/>
    <w:rsid w:val="00EF1C1F"/>
    <w:rsid w:val="00F0222B"/>
    <w:rsid w:val="00F02C93"/>
    <w:rsid w:val="00F07C9F"/>
    <w:rsid w:val="00F11CC2"/>
    <w:rsid w:val="00F13007"/>
    <w:rsid w:val="00F17965"/>
    <w:rsid w:val="00F341F7"/>
    <w:rsid w:val="00F46596"/>
    <w:rsid w:val="00F63405"/>
    <w:rsid w:val="00F7765A"/>
    <w:rsid w:val="00F8477D"/>
    <w:rsid w:val="00F94745"/>
    <w:rsid w:val="00FA1FB7"/>
    <w:rsid w:val="00FB2C2C"/>
    <w:rsid w:val="00FC7332"/>
    <w:rsid w:val="00FD391F"/>
    <w:rsid w:val="00FE16A4"/>
    <w:rsid w:val="00FE3402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4F06F"/>
  <w15:docId w15:val="{B89A38DE-FCDF-4B4C-9746-883948B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75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1E040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C44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44C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44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44C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476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029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29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299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9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990"/>
    <w:rPr>
      <w:b/>
      <w:bCs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02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2990"/>
    <w:rPr>
      <w:color w:val="0000FF"/>
      <w:u w:val="single"/>
    </w:rPr>
  </w:style>
  <w:style w:type="paragraph" w:styleId="Revisione">
    <w:name w:val="Revision"/>
    <w:hidden/>
    <w:uiPriority w:val="99"/>
    <w:semiHidden/>
    <w:rsid w:val="002A51E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08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169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53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13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F578-C592-42E9-AA7E-07F82A01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Claudia Giovannini</cp:lastModifiedBy>
  <cp:revision>2</cp:revision>
  <cp:lastPrinted>2017-10-26T07:36:00Z</cp:lastPrinted>
  <dcterms:created xsi:type="dcterms:W3CDTF">2017-10-26T15:41:00Z</dcterms:created>
  <dcterms:modified xsi:type="dcterms:W3CDTF">2017-10-26T15:41:00Z</dcterms:modified>
</cp:coreProperties>
</file>